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17534D" w:rsidRDefault="00585018" w:rsidP="004C660C">
            <w:pPr>
              <w:pStyle w:val="NormalWeb"/>
              <w:spacing w:before="0" w:beforeAutospacing="0" w:after="0" w:afterAutospacing="0"/>
              <w:rPr>
                <w:rFonts w:ascii="Century Gothic" w:hAnsi="Century Gothic"/>
                <w:sz w:val="16"/>
              </w:rPr>
            </w:pP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Pr="009C64FF" w:rsidRDefault="00C044CE" w:rsidP="009C64FF">
            <w:pPr>
              <w:pStyle w:val="NormalWeb"/>
              <w:spacing w:before="0" w:beforeAutospacing="0" w:after="0" w:afterAutospacing="0"/>
              <w:rPr>
                <w:rFonts w:ascii="Century Gothic" w:hAnsi="Century Gothic"/>
                <w:sz w:val="16"/>
              </w:rPr>
            </w:pP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C64FF" w:rsidRDefault="001F2AEE" w:rsidP="00AF6779">
            <w:pPr>
              <w:rPr>
                <w:rFonts w:ascii="Century Gothic" w:hAnsi="Century Gothic"/>
                <w:sz w:val="16"/>
                <w:szCs w:val="16"/>
              </w:rPr>
            </w:pP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Pr="004C660C" w:rsidRDefault="009E24EE" w:rsidP="004C660C">
            <w:pPr>
              <w:rPr>
                <w:rFonts w:ascii="Century Gothic" w:hAnsi="Century Gothic"/>
                <w:sz w:val="16"/>
                <w:szCs w:val="16"/>
              </w:rPr>
            </w:pP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p>
          <w:p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557F51" w:rsidRDefault="004C660C" w:rsidP="00AF6779">
            <w:pPr>
              <w:rPr>
                <w:rFonts w:ascii="Century Gothic" w:hAnsi="Century Gothic"/>
                <w:i/>
                <w:sz w:val="16"/>
                <w:szCs w:val="16"/>
              </w:rPr>
            </w:pPr>
            <w:r>
              <w:rPr>
                <w:rFonts w:ascii="Century Gothic" w:hAnsi="Century Gothic"/>
                <w:i/>
                <w:sz w:val="16"/>
                <w:szCs w:val="16"/>
              </w:rPr>
              <w:t xml:space="preserve">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rsidR="009B2317" w:rsidRDefault="009B2317">
      <w:pPr>
        <w:rPr>
          <w:rFonts w:ascii="Century Gothic" w:hAnsi="Century Gothic"/>
          <w:sz w:val="16"/>
          <w:szCs w:val="16"/>
        </w:rPr>
      </w:pPr>
      <w:r w:rsidRPr="004255A3">
        <w:rPr>
          <w:rFonts w:ascii="Century Gothic" w:hAnsi="Century Gothic"/>
          <w:sz w:val="16"/>
          <w:szCs w:val="16"/>
        </w:rPr>
        <w:t>Class Teacher</w:t>
      </w:r>
    </w:p>
    <w:p w:rsidR="009821C3" w:rsidRDefault="009821C3">
      <w:pPr>
        <w:rPr>
          <w:rFonts w:ascii="Century Gothic" w:hAnsi="Century Gothic"/>
          <w:sz w:val="16"/>
          <w:szCs w:val="16"/>
        </w:rPr>
      </w:pPr>
    </w:p>
    <w:p w:rsidR="009821C3" w:rsidRPr="004C660C" w:rsidRDefault="009821C3">
      <w:pPr>
        <w:rPr>
          <w:rFonts w:ascii="Century Gothic" w:hAnsi="Century Gothic"/>
          <w:sz w:val="16"/>
          <w:szCs w:val="16"/>
        </w:rPr>
      </w:pPr>
      <w:r>
        <w:rPr>
          <w:rFonts w:ascii="Century Gothic" w:hAnsi="Century Gothic"/>
          <w:sz w:val="16"/>
          <w:szCs w:val="16"/>
        </w:rPr>
        <w:lastRenderedPageBreak/>
        <w:t>Sarah Gillard</w:t>
      </w:r>
      <w:bookmarkStart w:id="0" w:name="_GoBack"/>
      <w:bookmarkEnd w:id="0"/>
    </w:p>
    <w:sectPr w:rsidR="009821C3"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68E" w:rsidRDefault="0017368E" w:rsidP="00C044CE">
      <w:pPr>
        <w:spacing w:after="0" w:line="240" w:lineRule="auto"/>
      </w:pPr>
      <w:r>
        <w:separator/>
      </w:r>
    </w:p>
  </w:endnote>
  <w:endnote w:type="continuationSeparator" w:id="0">
    <w:p w:rsidR="0017368E" w:rsidRDefault="0017368E"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68E" w:rsidRDefault="0017368E" w:rsidP="00C044CE">
      <w:pPr>
        <w:spacing w:after="0" w:line="240" w:lineRule="auto"/>
      </w:pPr>
      <w:r>
        <w:separator/>
      </w:r>
    </w:p>
  </w:footnote>
  <w:footnote w:type="continuationSeparator" w:id="0">
    <w:p w:rsidR="0017368E" w:rsidRDefault="0017368E"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368E"/>
    <w:rsid w:val="0017534D"/>
    <w:rsid w:val="001A6A32"/>
    <w:rsid w:val="001E6354"/>
    <w:rsid w:val="001F2AEE"/>
    <w:rsid w:val="002057F9"/>
    <w:rsid w:val="00242747"/>
    <w:rsid w:val="002829A3"/>
    <w:rsid w:val="00307E65"/>
    <w:rsid w:val="003960BE"/>
    <w:rsid w:val="004255A3"/>
    <w:rsid w:val="0045071B"/>
    <w:rsid w:val="0045182F"/>
    <w:rsid w:val="004B586D"/>
    <w:rsid w:val="004C660C"/>
    <w:rsid w:val="00557F51"/>
    <w:rsid w:val="00563AB7"/>
    <w:rsid w:val="00585018"/>
    <w:rsid w:val="0062024E"/>
    <w:rsid w:val="00641CB7"/>
    <w:rsid w:val="00705820"/>
    <w:rsid w:val="00723633"/>
    <w:rsid w:val="00822097"/>
    <w:rsid w:val="00837C6F"/>
    <w:rsid w:val="008858AA"/>
    <w:rsid w:val="008C0F16"/>
    <w:rsid w:val="00917B53"/>
    <w:rsid w:val="009821C3"/>
    <w:rsid w:val="009945C5"/>
    <w:rsid w:val="009B2317"/>
    <w:rsid w:val="009B354B"/>
    <w:rsid w:val="009C64FF"/>
    <w:rsid w:val="009E24EE"/>
    <w:rsid w:val="009E7A70"/>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8CA8"/>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D086-EE40-492A-85A4-4240E9F5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Sarah Gillard (Coppice)</cp:lastModifiedBy>
  <cp:revision>2</cp:revision>
  <dcterms:created xsi:type="dcterms:W3CDTF">2026-03-28T07:10:00Z</dcterms:created>
  <dcterms:modified xsi:type="dcterms:W3CDTF">2026-03-28T07:10:00Z</dcterms:modified>
</cp:coreProperties>
</file>